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5BA" w:rsidRDefault="008A75BA" w:rsidP="00C04CD0">
      <w:pPr>
        <w:spacing w:after="0" w:line="240" w:lineRule="auto"/>
        <w:jc w:val="center"/>
        <w:rPr>
          <w:rFonts w:ascii="Times New Roman" w:hAnsi="Times New Roman" w:cs="Times New Roman"/>
          <w:b/>
          <w:sz w:val="24"/>
          <w:szCs w:val="24"/>
        </w:rPr>
      </w:pPr>
      <w:bookmarkStart w:id="0" w:name="_GoBack"/>
      <w:bookmarkEnd w:id="0"/>
      <w:r w:rsidRPr="00C04CD0">
        <w:rPr>
          <w:rFonts w:ascii="Times New Roman" w:hAnsi="Times New Roman" w:cs="Times New Roman"/>
          <w:b/>
          <w:sz w:val="24"/>
          <w:szCs w:val="24"/>
        </w:rPr>
        <w:t>Сведения о ведущей организации</w:t>
      </w:r>
    </w:p>
    <w:p w:rsidR="00C04CD0" w:rsidRPr="00C04CD0" w:rsidRDefault="00C04CD0" w:rsidP="00C04CD0">
      <w:pPr>
        <w:spacing w:after="0" w:line="240" w:lineRule="auto"/>
        <w:jc w:val="center"/>
        <w:rPr>
          <w:rFonts w:ascii="Times New Roman" w:hAnsi="Times New Roman" w:cs="Times New Roman"/>
          <w:b/>
          <w:sz w:val="24"/>
          <w:szCs w:val="24"/>
        </w:rPr>
      </w:pPr>
    </w:p>
    <w:p w:rsidR="00C04CD0" w:rsidRDefault="00C04CD0" w:rsidP="00C04CD0">
      <w:pPr>
        <w:pStyle w:val="a3"/>
        <w:spacing w:before="0" w:beforeAutospacing="0" w:after="0" w:afterAutospacing="0"/>
        <w:ind w:firstLine="567"/>
        <w:divId w:val="729621257"/>
        <w:rPr>
          <w:rFonts w:eastAsiaTheme="minorHAnsi"/>
          <w:lang w:eastAsia="en-US"/>
        </w:rPr>
      </w:pPr>
      <w:r w:rsidRPr="00C04CD0">
        <w:rPr>
          <w:rFonts w:eastAsiaTheme="minorHAnsi"/>
          <w:lang w:eastAsia="en-US"/>
        </w:rPr>
        <w:t>Федеральное государственное бюджетное учрежден</w:t>
      </w:r>
      <w:r>
        <w:rPr>
          <w:rFonts w:eastAsiaTheme="minorHAnsi"/>
          <w:lang w:eastAsia="en-US"/>
        </w:rPr>
        <w:t xml:space="preserve">ие науки Институт биологии гена </w:t>
      </w:r>
      <w:r w:rsidRPr="00C04CD0">
        <w:rPr>
          <w:rFonts w:eastAsiaTheme="minorHAnsi"/>
          <w:lang w:eastAsia="en-US"/>
        </w:rPr>
        <w:t xml:space="preserve">Российской академии наук </w:t>
      </w:r>
    </w:p>
    <w:p w:rsidR="00C04CD0" w:rsidRDefault="00C04CD0" w:rsidP="00C04CD0">
      <w:pPr>
        <w:pStyle w:val="a3"/>
        <w:spacing w:before="0" w:beforeAutospacing="0" w:after="0" w:afterAutospacing="0"/>
        <w:ind w:firstLine="567"/>
        <w:divId w:val="729621257"/>
        <w:rPr>
          <w:rFonts w:eastAsiaTheme="minorHAnsi"/>
          <w:b/>
          <w:lang w:eastAsia="en-US"/>
        </w:rPr>
      </w:pPr>
    </w:p>
    <w:p w:rsidR="00C04CD0" w:rsidRPr="00C04CD0" w:rsidRDefault="00C04CD0" w:rsidP="00C04CD0">
      <w:pPr>
        <w:pStyle w:val="a3"/>
        <w:spacing w:before="0" w:beforeAutospacing="0" w:after="0" w:afterAutospacing="0"/>
        <w:ind w:firstLine="567"/>
        <w:divId w:val="729621257"/>
        <w:rPr>
          <w:rFonts w:eastAsiaTheme="minorHAnsi"/>
          <w:b/>
          <w:lang w:eastAsia="en-US"/>
        </w:rPr>
      </w:pPr>
      <w:r w:rsidRPr="00C04CD0">
        <w:rPr>
          <w:rFonts w:eastAsiaTheme="minorHAnsi"/>
          <w:b/>
          <w:lang w:eastAsia="en-US"/>
        </w:rPr>
        <w:t>Список основных публикаций по теме диссертации за последние 5 лет:</w:t>
      </w:r>
    </w:p>
    <w:p w:rsidR="00C04CD0" w:rsidRPr="00C04CD0" w:rsidRDefault="008A75BA" w:rsidP="00C04CD0">
      <w:pPr>
        <w:pStyle w:val="a3"/>
        <w:numPr>
          <w:ilvl w:val="0"/>
          <w:numId w:val="1"/>
        </w:numPr>
        <w:spacing w:before="0" w:beforeAutospacing="0" w:after="0" w:afterAutospacing="0"/>
        <w:divId w:val="729621257"/>
        <w:rPr>
          <w:noProof/>
        </w:rPr>
      </w:pPr>
      <w:r w:rsidRPr="00C04CD0">
        <w:fldChar w:fldCharType="begin" w:fldLock="1"/>
      </w:r>
      <w:r w:rsidRPr="00C04CD0">
        <w:instrText xml:space="preserve">ADDIN Mendeley Bibliography CSL_BIBLIOGRAPHY </w:instrText>
      </w:r>
      <w:r w:rsidRPr="00C04CD0">
        <w:fldChar w:fldCharType="separate"/>
      </w:r>
      <w:r w:rsidR="00C04CD0" w:rsidRPr="00C04CD0">
        <w:rPr>
          <w:noProof/>
        </w:rPr>
        <w:t>Gavrilov A. a, Chetverina H. V, Chermnykh E.S., Razin S. V, Chetverin A.B. Quantitative analysis of genomic element interactions by molecular colony technique. // Nucleic acids research - 2014. - V. 42. - N 5. - P. e36</w:t>
      </w:r>
    </w:p>
    <w:p w:rsidR="00C04CD0" w:rsidRPr="00C04CD0" w:rsidRDefault="00C04CD0" w:rsidP="00C04CD0">
      <w:pPr>
        <w:pStyle w:val="a3"/>
        <w:numPr>
          <w:ilvl w:val="0"/>
          <w:numId w:val="1"/>
        </w:numPr>
        <w:spacing w:before="0" w:beforeAutospacing="0" w:after="0" w:afterAutospacing="0"/>
        <w:divId w:val="729621257"/>
        <w:rPr>
          <w:noProof/>
        </w:rPr>
      </w:pPr>
      <w:r w:rsidRPr="00C04CD0">
        <w:rPr>
          <w:noProof/>
        </w:rPr>
        <w:t>Gavrilov A. a, Gushchanskaya E.S., Strelkova O., Zhironkina O., Kireev I.I., Iarovaia O. V, Razin S. V Disclosure of a structural milieu for the proximity ligation reveals the elusive nature of an active chromatin hub. // Nucleic acids research - 2013. - V. 41. - N 6. - P. 3563–3575</w:t>
      </w:r>
    </w:p>
    <w:p w:rsidR="00C04CD0" w:rsidRPr="00C04CD0" w:rsidRDefault="00C04CD0" w:rsidP="00C04CD0">
      <w:pPr>
        <w:pStyle w:val="a3"/>
        <w:numPr>
          <w:ilvl w:val="0"/>
          <w:numId w:val="1"/>
        </w:numPr>
        <w:spacing w:before="0" w:beforeAutospacing="0" w:after="0" w:afterAutospacing="0"/>
        <w:divId w:val="729621257"/>
        <w:rPr>
          <w:noProof/>
        </w:rPr>
      </w:pPr>
      <w:r w:rsidRPr="00C04CD0">
        <w:rPr>
          <w:noProof/>
        </w:rPr>
        <w:t>Gavrilov A.A., Golov A.K., Razin S. V. Actual Ligation Frequencies in the Chromosome Conformation Capture Procedure // PLoS ONE - 2013. - V. 8. - N 3. - P. e60403</w:t>
      </w:r>
    </w:p>
    <w:p w:rsidR="00C04CD0" w:rsidRPr="00C04CD0" w:rsidRDefault="00C04CD0" w:rsidP="00C04CD0">
      <w:pPr>
        <w:pStyle w:val="a3"/>
        <w:numPr>
          <w:ilvl w:val="0"/>
          <w:numId w:val="1"/>
        </w:numPr>
        <w:spacing w:before="0" w:beforeAutospacing="0" w:after="0" w:afterAutospacing="0"/>
        <w:divId w:val="729621257"/>
        <w:rPr>
          <w:noProof/>
        </w:rPr>
      </w:pPr>
      <w:r w:rsidRPr="00C04CD0">
        <w:rPr>
          <w:noProof/>
        </w:rPr>
        <w:t>Gushchanskaya E.S., Artemov A. V., Ulyanov S. V., Logacheva M.D., Penin A.A., Kotova E.S., Akopov S.B., Nikolaev L.G., Iarovaia O. V., Sverdlov E.D., Gavrilov A.A., Razin S. V. The clustering of CpG islands may constitute an important determinant of the 3D organization of interphase chromosomes // Epigenetics - 2014. - V. 9. - N 7. - P. 951–963</w:t>
      </w:r>
    </w:p>
    <w:p w:rsidR="00C04CD0" w:rsidRPr="00C04CD0" w:rsidRDefault="00C04CD0" w:rsidP="00C04CD0">
      <w:pPr>
        <w:pStyle w:val="a3"/>
        <w:numPr>
          <w:ilvl w:val="0"/>
          <w:numId w:val="1"/>
        </w:numPr>
        <w:spacing w:before="0" w:beforeAutospacing="0" w:after="0" w:afterAutospacing="0"/>
        <w:divId w:val="729621257"/>
        <w:rPr>
          <w:noProof/>
        </w:rPr>
      </w:pPr>
      <w:r w:rsidRPr="00C04CD0">
        <w:rPr>
          <w:noProof/>
        </w:rPr>
        <w:t>Gushchanskaya E.S., Markova E.N., Razin S. V, Kantidze O.L. Unmethylated CpG islands are clustered inside the interphase human cell nuclei. // Doklady. Biochemistry and biophysics - 2012. - V. 443. - P. 123–126</w:t>
      </w:r>
    </w:p>
    <w:p w:rsidR="00C04CD0" w:rsidRPr="00C04CD0" w:rsidRDefault="00C04CD0" w:rsidP="00C04CD0">
      <w:pPr>
        <w:pStyle w:val="a3"/>
        <w:numPr>
          <w:ilvl w:val="0"/>
          <w:numId w:val="1"/>
        </w:numPr>
        <w:spacing w:before="0" w:beforeAutospacing="0" w:after="0" w:afterAutospacing="0"/>
        <w:divId w:val="729621257"/>
        <w:rPr>
          <w:noProof/>
        </w:rPr>
      </w:pPr>
      <w:r w:rsidRPr="00C04CD0">
        <w:rPr>
          <w:noProof/>
        </w:rPr>
        <w:t>Razin S. V, Borunova V. V, Iarovaia O. V, Vassetzky Y.S. Nuclear matrix and structural and functional compartmentalization of the eucaryotic cell nucleus. // Biochemistry (Mosc) - 2014. - V. 79. - N 7. - P. 608–18</w:t>
      </w:r>
    </w:p>
    <w:p w:rsidR="00C04CD0" w:rsidRPr="00C04CD0" w:rsidRDefault="00C04CD0" w:rsidP="00C04CD0">
      <w:pPr>
        <w:pStyle w:val="a3"/>
        <w:numPr>
          <w:ilvl w:val="0"/>
          <w:numId w:val="1"/>
        </w:numPr>
        <w:spacing w:before="0" w:beforeAutospacing="0" w:after="0" w:afterAutospacing="0"/>
        <w:divId w:val="729621257"/>
        <w:rPr>
          <w:noProof/>
        </w:rPr>
      </w:pPr>
      <w:r w:rsidRPr="00C04CD0">
        <w:rPr>
          <w:noProof/>
        </w:rPr>
        <w:t>Razin S. V, Gavrilov A.A. Chromatin without the 30-nm fiber: constrained disorder instead of hierarchical folding // Epigenetics - 2014. - V. 9. - N 5. - P. 653–657</w:t>
      </w:r>
    </w:p>
    <w:p w:rsidR="00C04CD0" w:rsidRPr="00C04CD0" w:rsidRDefault="00C04CD0" w:rsidP="00C04CD0">
      <w:pPr>
        <w:pStyle w:val="a3"/>
        <w:numPr>
          <w:ilvl w:val="0"/>
          <w:numId w:val="1"/>
        </w:numPr>
        <w:spacing w:before="0" w:beforeAutospacing="0" w:after="0" w:afterAutospacing="0"/>
        <w:divId w:val="729621257"/>
        <w:rPr>
          <w:noProof/>
        </w:rPr>
      </w:pPr>
      <w:r w:rsidRPr="00C04CD0">
        <w:rPr>
          <w:noProof/>
        </w:rPr>
        <w:t>Razin S. V, Ulianov S. V, Ioudinkova E.S., Gushchanskaya E.S., Gavrilov A.A., Iarovaia O. V Domains of α- and β-globin genes in the context of the structural-functional organization of the eukaryotic genome. // Biochemistry. - 2012. - V. 77. - N 13. - P. 1409–23</w:t>
      </w:r>
    </w:p>
    <w:p w:rsidR="00C04CD0" w:rsidRPr="00C04CD0" w:rsidRDefault="00C04CD0" w:rsidP="00C04CD0">
      <w:pPr>
        <w:pStyle w:val="a3"/>
        <w:numPr>
          <w:ilvl w:val="0"/>
          <w:numId w:val="1"/>
        </w:numPr>
        <w:spacing w:before="0" w:beforeAutospacing="0" w:after="0" w:afterAutospacing="0"/>
        <w:divId w:val="729621257"/>
        <w:rPr>
          <w:noProof/>
        </w:rPr>
      </w:pPr>
      <w:r w:rsidRPr="00C04CD0">
        <w:rPr>
          <w:noProof/>
        </w:rPr>
        <w:t>Razin S. V., Gavrilov A.A., Ioudinkova E.S., Iarovaia O. V. Communication of genome regulatory elements in a folded chromosome // FEBS Letters - 2013. - V. 587. - N 13. - P. 1840–1847</w:t>
      </w:r>
    </w:p>
    <w:p w:rsidR="00C04CD0" w:rsidRPr="00C04CD0" w:rsidRDefault="00C04CD0" w:rsidP="00C04CD0">
      <w:pPr>
        <w:pStyle w:val="a3"/>
        <w:numPr>
          <w:ilvl w:val="0"/>
          <w:numId w:val="1"/>
        </w:numPr>
        <w:spacing w:before="0" w:beforeAutospacing="0" w:after="0" w:afterAutospacing="0"/>
        <w:divId w:val="729621257"/>
        <w:rPr>
          <w:noProof/>
        </w:rPr>
      </w:pPr>
      <w:r w:rsidRPr="00C04CD0">
        <w:rPr>
          <w:noProof/>
        </w:rPr>
        <w:t>Razin S. V., Gavrilov A.A., Pichugin A., Lipinski M., Iarovaia O. V., Vassetzky Y.S. Transcription factories in the context of the nuclear and genome organization // Nucleic Acids Research - 2011. - V. 39. - N 21. - P. 9085–9092</w:t>
      </w:r>
    </w:p>
    <w:p w:rsidR="00C04CD0" w:rsidRPr="00C04CD0" w:rsidRDefault="00C04CD0" w:rsidP="00C04CD0">
      <w:pPr>
        <w:pStyle w:val="a3"/>
        <w:numPr>
          <w:ilvl w:val="0"/>
          <w:numId w:val="1"/>
        </w:numPr>
        <w:spacing w:before="0" w:beforeAutospacing="0" w:after="0" w:afterAutospacing="0"/>
        <w:divId w:val="729621257"/>
        <w:rPr>
          <w:noProof/>
        </w:rPr>
      </w:pPr>
      <w:r w:rsidRPr="00C04CD0">
        <w:rPr>
          <w:noProof/>
        </w:rPr>
        <w:t>Razin S. V., Iarovaia O. V., Vassetzky Y.S. A requiem to the nuclear matrix: From a controversial concept to 3D organization of the nucleus // Chromosoma - 2014. - V. 123. - N 3. - P. 217–224</w:t>
      </w:r>
    </w:p>
    <w:p w:rsidR="008A75BA" w:rsidRPr="00C04CD0" w:rsidRDefault="00C04CD0" w:rsidP="00C04CD0">
      <w:pPr>
        <w:pStyle w:val="a3"/>
        <w:numPr>
          <w:ilvl w:val="0"/>
          <w:numId w:val="1"/>
        </w:numPr>
        <w:spacing w:before="0" w:beforeAutospacing="0" w:after="0" w:afterAutospacing="0"/>
      </w:pPr>
      <w:r w:rsidRPr="00C04CD0">
        <w:rPr>
          <w:noProof/>
        </w:rPr>
        <w:t>Ulianov S. V, Gavrilov A.A., Razin S. V Nuclear compartments, genome folding, and enhancer-promoter communication. // International review of cell and molecular biology - 2015. - V. 315. - P. 183–244</w:t>
      </w:r>
      <w:r w:rsidR="008A75BA" w:rsidRPr="00C04CD0">
        <w:fldChar w:fldCharType="end"/>
      </w:r>
    </w:p>
    <w:sectPr w:rsidR="008A75BA" w:rsidRPr="00C04C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4F8B"/>
    <w:multiLevelType w:val="hybridMultilevel"/>
    <w:tmpl w:val="7A50B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5BA"/>
    <w:rsid w:val="00456462"/>
    <w:rsid w:val="008A75BA"/>
    <w:rsid w:val="00B605A1"/>
    <w:rsid w:val="00C04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67F66-D095-40B2-A68E-EB0FD4B9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75BA"/>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513525">
      <w:bodyDiv w:val="1"/>
      <w:marLeft w:val="0"/>
      <w:marRight w:val="0"/>
      <w:marTop w:val="0"/>
      <w:marBottom w:val="0"/>
      <w:divBdr>
        <w:top w:val="none" w:sz="0" w:space="0" w:color="auto"/>
        <w:left w:val="none" w:sz="0" w:space="0" w:color="auto"/>
        <w:bottom w:val="none" w:sz="0" w:space="0" w:color="auto"/>
        <w:right w:val="none" w:sz="0" w:space="0" w:color="auto"/>
      </w:divBdr>
      <w:divsChild>
        <w:div w:id="1214662360">
          <w:marLeft w:val="0"/>
          <w:marRight w:val="0"/>
          <w:marTop w:val="0"/>
          <w:marBottom w:val="0"/>
          <w:divBdr>
            <w:top w:val="none" w:sz="0" w:space="0" w:color="auto"/>
            <w:left w:val="none" w:sz="0" w:space="0" w:color="auto"/>
            <w:bottom w:val="none" w:sz="0" w:space="0" w:color="auto"/>
            <w:right w:val="none" w:sz="0" w:space="0" w:color="auto"/>
          </w:divBdr>
          <w:divsChild>
            <w:div w:id="7296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7C355-1831-4900-9B55-7A30A3945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2487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Фишман Вениамин Семенович</dc:creator>
  <cp:keywords/>
  <dc:description/>
  <cp:lastModifiedBy>Пользователь</cp:lastModifiedBy>
  <cp:revision>2</cp:revision>
  <dcterms:created xsi:type="dcterms:W3CDTF">2015-07-06T06:06:00Z</dcterms:created>
  <dcterms:modified xsi:type="dcterms:W3CDTF">2015-07-06T06:06:00Z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minja-f@ya.ru@www.mendeley.com</vt:lpwstr>
  </property>
  <property fmtid="{D5CDD505-2E9C-101B-9397-08002B2CF9AE}" pid="4" name="Mendeley Citation Style_1">
    <vt:lpwstr>http://csl.mendeley.com/styles/43230501/ForThesesis-2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http://cslDataExporter</vt:lpwstr>
  </property>
  <property fmtid="{D5CDD505-2E9C-101B-9397-08002B2CF9AE}" pid="14" name="Mendeley Recent Style Name 4_1">
    <vt:lpwstr>CSL Data Exporter</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16th edition (author-date)</vt:lpwstr>
  </property>
  <property fmtid="{D5CDD505-2E9C-101B-9397-08002B2CF9AE}" pid="17" name="Mendeley Recent Style Id 6_1">
    <vt:lpwstr>http://csl.mendeley.com/styles/43230501/ForThesesis-2</vt:lpwstr>
  </property>
  <property fmtid="{D5CDD505-2E9C-101B-9397-08002B2CF9AE}" pid="18" name="Mendeley Recent Style Name 6_1">
    <vt:lpwstr>MinjaForThesesis-2 - Minja Fishman</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http://www.zotero.org/styles/molecular-cell</vt:lpwstr>
  </property>
  <property fmtid="{D5CDD505-2E9C-101B-9397-08002B2CF9AE}" pid="22" name="Mendeley Recent Style Name 8_1">
    <vt:lpwstr>Molecular Cell</vt:lpwstr>
  </property>
  <property fmtid="{D5CDD505-2E9C-101B-9397-08002B2CF9AE}" pid="23" name="Mendeley Recent Style Id 9_1">
    <vt:lpwstr>http://csl.mendeley.com/styles/43230501/VOGIS</vt:lpwstr>
  </property>
  <property fmtid="{D5CDD505-2E9C-101B-9397-08002B2CF9AE}" pid="24" name="Mendeley Recent Style Name 9_1">
    <vt:lpwstr>VOGIS - Minja Fishman</vt:lpwstr>
  </property>
</Properties>
</file>